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Nome do Processo/Rito: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Fechamento de Caixa Ponto de Venda.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2597403</wp:posOffset>
            </wp:positionH>
            <wp:positionV relativeFrom="paragraph">
              <wp:posOffset>-4762816</wp:posOffset>
            </wp:positionV>
            <wp:extent cx="205233" cy="7930257"/>
            <wp:effectExtent b="0" l="0" r="0" t="0"/>
            <wp:wrapNone/>
            <wp:docPr descr="Desenho de uma pessoa&#10;&#10;Descrição gerada automaticamente com confiança baixa" id="1423461679" name="image1.png"/>
            <a:graphic>
              <a:graphicData uri="http://schemas.openxmlformats.org/drawingml/2006/picture">
                <pic:pic>
                  <pic:nvPicPr>
                    <pic:cNvPr descr="Desenho de uma pessoa&#10;&#10;Descrição gerada automaticamente com confiança baixa" id="0" name="image1.png"/>
                    <pic:cNvPicPr preferRelativeResize="0"/>
                  </pic:nvPicPr>
                  <pic:blipFill>
                    <a:blip r:embed="rId7"/>
                    <a:srcRect b="0" l="150" r="98739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5233" cy="79302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2597403</wp:posOffset>
            </wp:positionH>
            <wp:positionV relativeFrom="paragraph">
              <wp:posOffset>5717223</wp:posOffset>
            </wp:positionV>
            <wp:extent cx="205233" cy="7930257"/>
            <wp:effectExtent b="0" l="0" r="0" t="0"/>
            <wp:wrapNone/>
            <wp:docPr descr="Desenho de uma pessoa&#10;&#10;Descrição gerada automaticamente com confiança baixa" id="1423461680" name="image1.png"/>
            <a:graphic>
              <a:graphicData uri="http://schemas.openxmlformats.org/drawingml/2006/picture">
                <pic:pic>
                  <pic:nvPicPr>
                    <pic:cNvPr descr="Desenho de uma pessoa&#10;&#10;Descrição gerada automaticamente com confiança baixa" id="0" name="image1.png"/>
                    <pic:cNvPicPr preferRelativeResize="0"/>
                  </pic:nvPicPr>
                  <pic:blipFill>
                    <a:blip r:embed="rId7"/>
                    <a:srcRect b="0" l="150" r="98739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5233" cy="79302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Políticas para garantir a precisão e a integridade das transações financeiras diárias dos PDV’s (pontos de venda). Registro e análise de todas as operações de entradas e saídas, saldos em dinheiro e apontamentos das vendas nos portais utilizados por cada marca.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92" w:right="0" w:hanging="432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se8mqou8fof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Regra 1.1</w:t>
      </w: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O responsável pelo PDV, deve realizar a abertura e fechamento do caixa diariamente e efetuar o envio do relatório de fechamento de caixa por e-mail ao conferente da área financeira designado. O prazo para envio é até 12:00h do dia seguinte e para os caixas de sexta-feira, sábado e domingo até 12:00h da segunda-feira seguinte.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Enviar junto ao relatório de fechamento de caixa todos os comprovantes de PIX, depósitos e despesas (vide Regra 2 – despesas pagas pelo caixa do PDV).  Os endereços de e-mail da conferência, conforme determinado para cada ponto de venda são: </w:t>
      </w:r>
      <w:hyperlink r:id="rId8">
        <w:r w:rsidDel="00000000" w:rsidR="00000000" w:rsidRPr="00000000">
          <w:rPr>
            <w:rFonts w:ascii="Montserrat" w:cs="Montserrat" w:eastAsia="Montserrat" w:hAnsi="Montserrat"/>
            <w:b w:val="0"/>
            <w:i w:val="0"/>
            <w:smallCaps w:val="0"/>
            <w:strike w:val="0"/>
            <w:color w:val="467886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conferenciacx01@grupovilarouca.com.br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Realizar depósito bancário na conta da loja, do saldo excedente ao fundo de caixa estabelecido, no dia seguinte ao fechamento do caixa, conforme Anexo 1 – Saldo Limite em Fundo de Caixa.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Fazer as devidas observações nas trocas de modalidades de vendas (Exemplo: troca de dinheiro por cartão).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Conferir os relatórios de cartões (SITEF e POS) com os valores das vendas lançadas no sistema da loja;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Efetivar a abertura diária do caixa com o valor em dinheiro (espécie) constante na gaveta, independentemente de qualquer erro ocorrido no caixa do dia anterior.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Solucionar e responder o e-mail de pendências e divergências do caixa em até 48 horas do recebimento do pedido de verificação.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Reenviar para a conferência, para o mesmo endereço de e-mail para o qual o relatório de fechamento de caixa foi reportado, nota fiscal de devolução quando houver necessidade desta.  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 necessidades pontuais do ponto de venda, o pagamento da despesa pode ser realizado diretamente pela frente de caixa, observando-se as diretrizes e normas previamente determinadas.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Regra 1.1</w:t>
      </w: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Todas as despesas devem ser comprovadas preferencialmente por nota fiscal ou cupom fiscal. Na impossibilidade destes enviar recibo devidamente preenchido e legível, no qual deve constar CPF/CNPJ e assinatura do favorecido.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Seguir tabela de regras das despesas, limites e periodicidade dos pagamentos que podem ser efetuados pelo caixa do PDV, conforme tabela a seguir:</w:t>
      </w:r>
      <w:r w:rsidDel="00000000" w:rsidR="00000000" w:rsidRPr="00000000">
        <w:rPr>
          <w:rtl w:val="0"/>
        </w:rPr>
      </w:r>
    </w:p>
    <w:tbl>
      <w:tblPr>
        <w:tblStyle w:val="Table1"/>
        <w:tblW w:w="8079.0" w:type="dxa"/>
        <w:jc w:val="left"/>
        <w:tblInd w:w="416.0" w:type="dxa"/>
        <w:tblLayout w:type="fixed"/>
        <w:tblLook w:val="0400"/>
      </w:tblPr>
      <w:tblGrid>
        <w:gridCol w:w="3543"/>
        <w:gridCol w:w="2410"/>
        <w:gridCol w:w="2126"/>
        <w:tblGridChange w:id="0">
          <w:tblGrid>
            <w:gridCol w:w="3543"/>
            <w:gridCol w:w="2410"/>
            <w:gridCol w:w="2126"/>
          </w:tblGrid>
        </w:tblGridChange>
      </w:tblGrid>
      <w:tr>
        <w:trPr>
          <w:cantSplit w:val="0"/>
          <w:trHeight w:val="98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  <w:rtl w:val="0"/>
              </w:rPr>
              <w:t xml:space="preserve">DESPESA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  <w:rtl w:val="0"/>
              </w:rPr>
              <w:t xml:space="preserve">VALOR MÁXIMO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  <w:rtl w:val="0"/>
              </w:rPr>
              <w:t xml:space="preserve">PERIODICIDADE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Alimentação por Funcionário (Horas Extras) – Ver regra 1.1.2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8"/>
                <w:szCs w:val="18"/>
                <w:rtl w:val="0"/>
              </w:rPr>
              <w:t xml:space="preserve">Grupo 1 e 2: </w:t>
            </w: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R$ 18,00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Datas Excepcionais e Situações Pontuais (Anexo 2)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8"/>
                <w:szCs w:val="18"/>
                <w:rtl w:val="0"/>
              </w:rPr>
              <w:t xml:space="preserve">Grupo 3 e 4: </w:t>
            </w: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R$ 15,00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8"/>
                <w:szCs w:val="18"/>
                <w:rtl w:val="0"/>
              </w:rPr>
              <w:t xml:space="preserve">VD/HUB CE: R$ 18,00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8"/>
                <w:szCs w:val="18"/>
                <w:rtl w:val="0"/>
              </w:rPr>
              <w:t xml:space="preserve">VD’s PI/MA/RN: R$ 20,00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Ação Aniversariantes (Gente&amp;Cultura)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Loja: R$ 60,00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 – Conforme Calendário de Aniversariantes</w:t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VD/HUB: R$ 100,00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Alimentação por Funcionário (Reuniões Mensais)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R$ 12,00/pessoa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Brindes e Incentivos (Comemoração do Atingimento de Metas)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Loja: R$ 30,00/pessoa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VD: R$ 20,00/pessoa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Material Auxiliares e de Consumo: Papel A4, fitas, caneta, caderno, carimbo, bobina, pastas, pilhas, etiquetas.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1 e 2: R$ 70,00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3 e 4: R$ 50,00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VD/HUB: R$ 120,00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Copa e Cozinha: Garrafão de água, copos, café e açúcar (consumo colaboradores loja).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1: R$ 100,00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2: R$ 70,00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3 e 4: R$ 50,00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VD/HUB: R$ 150,00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Material de Limpeza: Desinfetante, detergente, vassoura, balde, sacos para lixo, álcool, panos p/ limpeza.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1 e 2: R$ 70,00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3 e 4: R$ 50,00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VD/HUB: R$ 120,00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Manutenção de Veículos (Pequenos reparos emergenciais como reparos de pneus)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Lojas: R$ 30,00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VD: R$ 50,00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Combustível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1 e 2: R$ 120,00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Mensal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3: R$ 80,00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Grupo 4: R$ 60,00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highlight w:val="lightGray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Alimentação por Funcionário: Deve ser informado para quais colaboradores o pagamento de alimentação foi realizado. O reembolso de gastos com alimentação é realizado apenas nas situações pontuados no Anexo 2 e valores descriminados na tabela acima. O valor excedente do limite estipulado para alimentação em horas extras não é reembolsável. Se o feito, será atribuída a loja como falta de caixa e os responsáveis deverão cobrir a diferença originada.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Pagamentos de incentivos e motivacionais financeiros, não devem ser pagos pelo caixa.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Qualquer despesa não mencionada, deve ser direcionada para pagamento via contas a pagar conforme Política de Contas a Pagar. </w:t>
      </w: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Atenção: para pagamentos via financeiro o prazo é de 72 horas, após reporte com as devidas autorizações e informações. O favorecido deve ser informado do prazo previamente a prestação do serviço ou fornecimento de bem. 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hanging="504.00000000000006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 outras despesas não discriminadas anteriormente, consultar Anexo 3 – Despesas de Responsabilidade de Setor Específico, a necessidade da despesa deve ser enviada para tratativa do setor mencionado ou consultar o responsável pela conferência de caixa do PDV para orientação.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224" w:right="0" w:firstLine="0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360" w:right="0" w:hanging="360"/>
        <w:jc w:val="both"/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 serviços de entrega a solicitação de pagamento deve ser enviada ao contas a pagar e para a Coordenadora de Logística (Camila Alves) para autorização. Após autorização, o pagamento é realizado via contas a pagar, nenhum pagamento para essa finalidade deve acontecer via caixa, particularidade das VD’s.</w:t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1 - Saldo Limite em Fundo de Caixa</w:t>
        <w:tab/>
      </w:r>
    </w:p>
    <w:tbl>
      <w:tblPr>
        <w:tblStyle w:val="Table2"/>
        <w:tblW w:w="7594.999999999999" w:type="dxa"/>
        <w:jc w:val="left"/>
        <w:tblLayout w:type="fixed"/>
        <w:tblLook w:val="0400"/>
      </w:tblPr>
      <w:tblGrid>
        <w:gridCol w:w="2744"/>
        <w:gridCol w:w="1107"/>
        <w:gridCol w:w="146"/>
        <w:gridCol w:w="2649"/>
        <w:gridCol w:w="949"/>
        <w:tblGridChange w:id="0">
          <w:tblGrid>
            <w:gridCol w:w="2744"/>
            <w:gridCol w:w="1107"/>
            <w:gridCol w:w="146"/>
            <w:gridCol w:w="2649"/>
            <w:gridCol w:w="949"/>
          </w:tblGrid>
        </w:tblGridChange>
      </w:tblGrid>
      <w:tr>
        <w:trPr>
          <w:cantSplit w:val="0"/>
          <w:trHeight w:val="227" w:hRule="atLeast"/>
          <w:tblHeader w:val="0"/>
        </w:trPr>
        <w:tc>
          <w:tcPr>
            <w:tcBorders>
              <w:top w:color="404040" w:space="0" w:sz="4" w:val="single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Ponto de Venda</w:t>
            </w:r>
          </w:p>
        </w:tc>
        <w:tc>
          <w:tcPr>
            <w:tcBorders>
              <w:top w:color="404040" w:space="0" w:sz="4" w:val="single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 Saldo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04040" w:space="0" w:sz="4" w:val="single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Ponto de Venda</w:t>
            </w:r>
          </w:p>
        </w:tc>
        <w:tc>
          <w:tcPr>
            <w:tcBorders>
              <w:top w:color="404040" w:space="0" w:sz="4" w:val="single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 Saldo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Arezzo Iguatu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right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Camaçari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Acopiara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400,00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Caucaia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Alexandria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Feira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Banabuiú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Iguatemi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Caicó 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Ilha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Caicó II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500,00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Imperatriz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Cocal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Juazeiro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Hibrida Catolé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400,00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Kennedy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Icó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Lauro de Freitas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Iguatu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500,00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Quiosque Iha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Jucás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Rio Mar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Jucurutu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500,00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Rio Poty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Lavras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São Luis Nova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Luís Correia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Shop Bahia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Martins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Shop Barra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Mombaça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Shopping Salvador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N. Oriente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Teresina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P. Branca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C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Crocs Vit. da Conquista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400,00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Parambu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C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Farmácia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270,00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Parnaíba 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400,00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Hub VD Iguatu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500,00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Parnaíba 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Magrella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200,00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Pau dos Ferros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500,00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Vans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200,00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Perimetral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Araioses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200,00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Quixadá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400,00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Catolé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500,00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Quixeramobim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Caicó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300,00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São Bernardo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Iguatu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500,00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São Miguel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400,00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F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Novo Oriente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500,00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Senador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200,00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Parnaíba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300,00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Shop Parnaíba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400,00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Pau dos Ferros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500,00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Tauá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Quixadá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300,00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Umarizal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São Bernardo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300,00 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Boticário - Várzea Alegre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   300,00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404040" w:space="0" w:sz="4" w:val="single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VD Tauá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404040" w:space="0" w:sz="4" w:val="single"/>
              <w:right w:color="40404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  300,00 </w:t>
            </w:r>
          </w:p>
        </w:tc>
      </w:tr>
    </w:tbl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line="278.00000000000006" w:lineRule="auto"/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2 – Eventos Geradores de Pagamento de Alimentação (extra)</w:t>
      </w:r>
    </w:p>
    <w:tbl>
      <w:tblPr>
        <w:tblStyle w:val="Table3"/>
        <w:tblpPr w:leftFromText="141" w:rightFromText="141" w:topFromText="0" w:bottomFromText="0" w:vertAnchor="text" w:horzAnchor="text" w:tblpX="0" w:tblpY="218"/>
        <w:tblW w:w="2840.0" w:type="dxa"/>
        <w:jc w:val="left"/>
        <w:tblLayout w:type="fixed"/>
        <w:tblLook w:val="0400"/>
      </w:tblPr>
      <w:tblGrid>
        <w:gridCol w:w="2840"/>
        <w:tblGridChange w:id="0">
          <w:tblGrid>
            <w:gridCol w:w="2840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2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  <w:rtl w:val="0"/>
              </w:rPr>
              <w:t xml:space="preserve">Datas Excepcionais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Dia das Mães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Dia dos Namorados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Dia dos Pais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Black Semanal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Natal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8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20"/>
                <w:szCs w:val="20"/>
                <w:rtl w:val="0"/>
              </w:rPr>
              <w:t xml:space="preserve">Situações Pontuais</w:t>
            </w:r>
          </w:p>
        </w:tc>
      </w:tr>
      <w:tr>
        <w:trPr>
          <w:cantSplit w:val="0"/>
          <w:trHeight w:val="144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9">
            <w:pPr>
              <w:spacing w:after="0" w:line="240" w:lineRule="auto"/>
              <w:jc w:val="both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Casos especiais para registrar as vendas final de mês, final de ciclo, promoções extras, que não devem ficar pendentes no período.</w:t>
            </w:r>
          </w:p>
        </w:tc>
      </w:tr>
      <w:tr>
        <w:trPr>
          <w:cantSplit w:val="0"/>
          <w:trHeight w:val="576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A">
            <w:pPr>
              <w:spacing w:after="0" w:line="240" w:lineRule="auto"/>
              <w:jc w:val="both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Dia de ação com Multiplicadora em Loja.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Lives e-commerce. 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20"/>
                <w:szCs w:val="20"/>
                <w:rtl w:val="0"/>
              </w:rPr>
              <w:t xml:space="preserve">Troca de vitrine.</w:t>
            </w:r>
          </w:p>
        </w:tc>
      </w:tr>
    </w:tbl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ab/>
        <w:tab/>
        <w:tab/>
        <w:br w:type="textWrapping"/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3 – Despesas de Responsabilidade de Setor Específico </w:t>
      </w:r>
    </w:p>
    <w:tbl>
      <w:tblPr>
        <w:tblStyle w:val="Table4"/>
        <w:tblW w:w="9072.0" w:type="dxa"/>
        <w:jc w:val="left"/>
        <w:tblInd w:w="279.0" w:type="dxa"/>
        <w:tblLayout w:type="fixed"/>
        <w:tblLook w:val="0400"/>
      </w:tblPr>
      <w:tblGrid>
        <w:gridCol w:w="3589"/>
        <w:gridCol w:w="1592"/>
        <w:gridCol w:w="3891"/>
        <w:tblGridChange w:id="0">
          <w:tblGrid>
            <w:gridCol w:w="3589"/>
            <w:gridCol w:w="1592"/>
            <w:gridCol w:w="3891"/>
          </w:tblGrid>
        </w:tblGridChange>
      </w:tblGrid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16"/>
                <w:szCs w:val="16"/>
                <w:rtl w:val="0"/>
              </w:rPr>
              <w:t xml:space="preserve">DESPESA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16"/>
                <w:szCs w:val="16"/>
                <w:rtl w:val="0"/>
              </w:rPr>
              <w:t xml:space="preserve">ÁREA RESPONSÁVEL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000000"/>
                <w:sz w:val="16"/>
                <w:szCs w:val="16"/>
                <w:rtl w:val="0"/>
              </w:rPr>
              <w:t xml:space="preserve">E-MAIL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ACORDOS OU TAXAS SINDICAIS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DP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departamentopessoal@grupovilarouca.com.br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EXAMES OCUPACIONAIS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A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DP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departamentopessoal@grupovilarouca.com.br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SALÁRIOS/RESCISÃO/VALE TRANSPORTE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DP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departamentopessoal@grupovilarouca.com.br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FATURAS DE ÁGUA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FATURAS DE ENERGIA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ACESSÓRIOS  PARA CELULAR (CAPA, PELÍCULA, CARREGADOR)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FATURAS INTERNET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IPTU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MANUTENÇÃO DE VEÍCULOS: CAMARA DE AR, PNEUS, TROCA DE ÓLEO, LAVAÇÃO, OUTROS SERVIÇOS/PEÇAS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MÓVEIS E UTENSÍLIOS COMPRA DE NOVOS OU REPARO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4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TAXA DE VIGILANCIA SANITARIA, BOMBEIROS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7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CONSERTOS ESTRUTURAIS GERAIS (CIVIL/ELÉTRICO)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CONTRATAÇÃO DE SERVIÇOS DE LIMPEZA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MANUTENÇÃO/TROCA DE AR CONDICIONADO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E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SERVIÇOS DE VIGILANCIA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2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TELEFONIA: CHIP, RECARGAS E FATURAS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4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facilities@grupovilarouca.com.br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6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ORGANIZAÇÃO DE CURSOS E TREINAMENTOS, BRINDES, COFFEE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7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GENTE&amp;CULTURA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8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rh@grupovilarouca.com.br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9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DESPESAS COM VIAGENS: PASSAGEM, DESLOCAMENTO, HOSPEDAGEM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A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GESTOR IMEDIATO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 </w:t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C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DOAÇÃO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D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GOVERNANÇA CORPORATIVA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E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priscila@grupovilarouca.com.br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F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PAGTO DE DIÁRIAS PARA  MOTORISTA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0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LOGÍSTICA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1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coordenador.logistica@grupovilarouca.com.br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2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QUALQUER BRINDE PARA EVENTOS, CAMPANHAS, PRESENTES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4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marketing@grupovilarouca.com.br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ORGANIZAÇÕES DE EVENTOS: DECORAÇÕES, COFFEE, MIMOS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6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7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marketing@grupovilarouca.com.br</w:t>
            </w:r>
          </w:p>
        </w:tc>
      </w:tr>
      <w:tr>
        <w:trPr>
          <w:cantSplit w:val="0"/>
          <w:trHeight w:val="847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MARKETING/MÍDIA LOCAL/PROPAGANDA/ETIQUETAS: LOCUÇÃO, OUTDOOR, PANFLETAGEM, MATERIAL GRÁFICO, PLACAS, DIVULGAÇÃO EM RÁDIO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9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marketing@grupovilarouca.com.br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B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VITRINES: ADESIVOS, DECORAÇÕES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marketing@grupovilarouca.com.br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EQUIPAMENTOS DE INFORMÁTICA: CABOS, FONTES, MOUSE, TECLADO, SERVIÇOS EM SOTWARE OU HARDWARE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TI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ti@grupovilarouca.com.br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spacing w:after="0" w:line="240" w:lineRule="auto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SISTEMAS: INSTALAÇÃO E CONFIGURAÇÃO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spacing w:after="0" w:line="240" w:lineRule="auto"/>
              <w:jc w:val="center"/>
              <w:rPr>
                <w:rFonts w:ascii="Montserrat" w:cs="Montserrat" w:eastAsia="Montserrat" w:hAnsi="Montserrat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6"/>
                <w:szCs w:val="16"/>
                <w:rtl w:val="0"/>
              </w:rPr>
              <w:t xml:space="preserve">TI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spacing w:after="0" w:line="240" w:lineRule="auto"/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ff"/>
                <w:sz w:val="16"/>
                <w:szCs w:val="16"/>
                <w:u w:val="single"/>
                <w:rtl w:val="0"/>
              </w:rPr>
              <w:t xml:space="preserve">ti@grupovilarouca.com.br</w:t>
            </w:r>
          </w:p>
        </w:tc>
      </w:tr>
    </w:tbl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both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Montserra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A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4"/>
        <w:szCs w:val="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Montserrat" w:cs="Montserrat" w:eastAsia="Montserrat" w:hAnsi="Montserrat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Fechamento de Caixa Pontos de Vendas - Políticas</w:t>
    </w:r>
  </w:p>
  <w:p w:rsidR="00000000" w:rsidDel="00000000" w:rsidP="00000000" w:rsidRDefault="00000000" w:rsidRPr="00000000" w14:paraId="000001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1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8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1"/>
      </w:rPr>
    </w:lvl>
    <w:lvl w:ilvl="3">
      <w:start w:val="1"/>
      <w:numFmt w:val="decimal"/>
      <w:lvlText w:val="%1.%2.%3."/>
      <w:lvlJc w:val="left"/>
      <w:pPr>
        <w:ind w:left="1728" w:hanging="647.9999999999998"/>
      </w:pPr>
      <w:rPr>
        <w:b w:val="1"/>
      </w:rPr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8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80206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80206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802061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802061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802061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802061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802061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802061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802061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802061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802061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802061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802061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802061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80206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802061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802061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802061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80206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802061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802061"/>
    <w:rPr>
      <w:b w:val="1"/>
      <w:bCs w:val="1"/>
      <w:smallCaps w:val="1"/>
      <w:color w:val="0f4761" w:themeColor="accent1" w:themeShade="0000BF"/>
      <w:spacing w:val="5"/>
    </w:rPr>
  </w:style>
  <w:style w:type="paragraph" w:styleId="Cabealho">
    <w:name w:val="header"/>
    <w:basedOn w:val="Normal"/>
    <w:link w:val="CabealhoChar"/>
    <w:uiPriority w:val="99"/>
    <w:unhideWhenUsed w:val="1"/>
    <w:rsid w:val="00802061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02061"/>
  </w:style>
  <w:style w:type="paragraph" w:styleId="Rodap">
    <w:name w:val="footer"/>
    <w:basedOn w:val="Normal"/>
    <w:link w:val="RodapChar"/>
    <w:uiPriority w:val="99"/>
    <w:unhideWhenUsed w:val="1"/>
    <w:rsid w:val="00802061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02061"/>
  </w:style>
  <w:style w:type="character" w:styleId="Hyperlink">
    <w:name w:val="Hyperlink"/>
    <w:basedOn w:val="Fontepargpadro"/>
    <w:uiPriority w:val="99"/>
    <w:unhideWhenUsed w:val="1"/>
    <w:rsid w:val="00DE4A81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DE4A81"/>
    <w:rPr>
      <w:color w:val="605e5c"/>
      <w:shd w:color="auto" w:fill="e1dfdd" w:val="clear"/>
    </w:rPr>
  </w:style>
  <w:style w:type="table" w:styleId="Tabelacomgrade">
    <w:name w:val="Table Grid"/>
    <w:basedOn w:val="Tabelanormal"/>
    <w:uiPriority w:val="39"/>
    <w:rsid w:val="0033536C"/>
    <w:pPr>
      <w:spacing w:after="0" w:line="240" w:lineRule="auto"/>
    </w:pPr>
    <w:rPr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eladeGradeClara">
    <w:name w:val="Grid Table Light"/>
    <w:basedOn w:val="Tabelanormal"/>
    <w:uiPriority w:val="40"/>
    <w:rsid w:val="00061EDD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Refdecomentrio">
    <w:name w:val="annotation reference"/>
    <w:basedOn w:val="Fontepargpadro"/>
    <w:uiPriority w:val="99"/>
    <w:semiHidden w:val="1"/>
    <w:unhideWhenUsed w:val="1"/>
    <w:rsid w:val="006953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 w:val="1"/>
    <w:rsid w:val="006953B5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rsid w:val="006953B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6953B5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6953B5"/>
    <w:rPr>
      <w:b w:val="1"/>
      <w:bCs w:val="1"/>
      <w:sz w:val="20"/>
      <w:szCs w:val="20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conferenciacx01@grupovilarouca.com.b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Montserrat-regular.ttf"/><Relationship Id="rId4" Type="http://schemas.openxmlformats.org/officeDocument/2006/relationships/font" Target="fonts/Montserrat-bold.ttf"/><Relationship Id="rId5" Type="http://schemas.openxmlformats.org/officeDocument/2006/relationships/font" Target="fonts/Montserrat-italic.ttf"/><Relationship Id="rId6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wuiK/t1+nRgU5GwjtQ+LMDN2Qg==">CgMxLjAyDmguZ3NlOG1xb3U4Zm9mOAByITFteTB6THoya3RFVE1qYVhzQWpXbWR1MzN2Y3JfR1Zneg==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2024-12-12T18:04:00Z</dcterms:created>
  <dc:creator>Adson David</dc:creator>
</cp:coreProperties>
</file>